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D2563" w14:textId="77777777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TPPG Board Meeting</w:t>
      </w:r>
    </w:p>
    <w:p w14:paraId="40C019E9" w14:textId="77777777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January 8, 2018</w:t>
      </w:r>
    </w:p>
    <w:p w14:paraId="32DCED9D" w14:textId="77777777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14:paraId="634A56AC" w14:textId="77777777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  <w:sz w:val="20"/>
          <w:szCs w:val="20"/>
        </w:rPr>
      </w:pPr>
      <w:r>
        <w:rPr>
          <w:rFonts w:ascii="HelveticaNeue-Bold" w:hAnsi="HelveticaNeue-Bold" w:cs="HelveticaNeue-Bold"/>
          <w:b/>
          <w:bCs/>
          <w:color w:val="000000"/>
          <w:sz w:val="20"/>
          <w:szCs w:val="20"/>
        </w:rPr>
        <w:t>Present:</w:t>
      </w:r>
    </w:p>
    <w:p w14:paraId="35EBFCF8" w14:textId="77777777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President and website: Katie Bellflower</w:t>
      </w:r>
    </w:p>
    <w:p w14:paraId="395492EE" w14:textId="77777777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Vice President: Amanda Hunter</w:t>
      </w:r>
    </w:p>
    <w:p w14:paraId="7C959052" w14:textId="77777777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Secretary: Amanda Wynne</w:t>
      </w:r>
    </w:p>
    <w:p w14:paraId="10CE8E28" w14:textId="77777777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Treasurer: Robert Hunter</w:t>
      </w:r>
    </w:p>
    <w:p w14:paraId="5F304B74" w14:textId="77777777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Print Competition Chair: Lauren Womble</w:t>
      </w:r>
    </w:p>
    <w:p w14:paraId="5ACB8073" w14:textId="77777777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Member at large: Amanda Clarke</w:t>
      </w:r>
    </w:p>
    <w:p w14:paraId="4C0B976A" w14:textId="77777777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Member at large: Dawn Carter-Cook</w:t>
      </w:r>
    </w:p>
    <w:p w14:paraId="73BC9CF7" w14:textId="76033078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 xml:space="preserve">Member at large: Steve </w:t>
      </w:r>
      <w:proofErr w:type="spellStart"/>
      <w:r>
        <w:rPr>
          <w:rFonts w:ascii="HelveticaNeue" w:hAnsi="HelveticaNeue" w:cs="HelveticaNeue"/>
          <w:color w:val="000000"/>
          <w:sz w:val="20"/>
          <w:szCs w:val="20"/>
        </w:rPr>
        <w:t>Saccio</w:t>
      </w:r>
      <w:proofErr w:type="spellEnd"/>
    </w:p>
    <w:p w14:paraId="73674FEC" w14:textId="77777777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14:paraId="25DE994E" w14:textId="77777777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  <w:sz w:val="20"/>
          <w:szCs w:val="20"/>
        </w:rPr>
      </w:pPr>
      <w:r>
        <w:rPr>
          <w:rFonts w:ascii="HelveticaNeue-Bold" w:hAnsi="HelveticaNeue-Bold" w:cs="HelveticaNeue-Bold"/>
          <w:b/>
          <w:bCs/>
          <w:color w:val="000000"/>
          <w:sz w:val="20"/>
          <w:szCs w:val="20"/>
        </w:rPr>
        <w:t>Not Present:</w:t>
      </w:r>
    </w:p>
    <w:p w14:paraId="67AC1CA0" w14:textId="09D4E14C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Membership Chair: Charlotte Fristoe</w:t>
      </w:r>
    </w:p>
    <w:p w14:paraId="50D3176A" w14:textId="014DEBCD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proofErr w:type="spellStart"/>
      <w:r>
        <w:rPr>
          <w:rFonts w:ascii="HelveticaNeue" w:hAnsi="HelveticaNeue" w:cs="HelveticaNeue"/>
          <w:color w:val="000000"/>
          <w:sz w:val="20"/>
          <w:szCs w:val="20"/>
        </w:rPr>
        <w:t>Sarge</w:t>
      </w:r>
      <w:r w:rsidR="008338E9">
        <w:rPr>
          <w:rFonts w:ascii="HelveticaNeue" w:hAnsi="HelveticaNeue" w:cs="HelveticaNeue"/>
          <w:color w:val="000000"/>
          <w:sz w:val="20"/>
          <w:szCs w:val="20"/>
        </w:rPr>
        <w:t>a</w:t>
      </w:r>
      <w:r>
        <w:rPr>
          <w:rFonts w:ascii="HelveticaNeue" w:hAnsi="HelveticaNeue" w:cs="HelveticaNeue"/>
          <w:color w:val="000000"/>
          <w:sz w:val="20"/>
          <w:szCs w:val="20"/>
        </w:rPr>
        <w:t>nt</w:t>
      </w:r>
      <w:proofErr w:type="spellEnd"/>
      <w:r>
        <w:rPr>
          <w:rFonts w:ascii="HelveticaNeue" w:hAnsi="HelveticaNeue" w:cs="HelveticaNeue"/>
          <w:color w:val="000000"/>
          <w:sz w:val="20"/>
          <w:szCs w:val="20"/>
        </w:rPr>
        <w:t xml:space="preserve"> in arms: Nina Atkinson</w:t>
      </w:r>
      <w:bookmarkStart w:id="0" w:name="_GoBack"/>
      <w:bookmarkEnd w:id="0"/>
    </w:p>
    <w:p w14:paraId="0C5B236E" w14:textId="77777777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14:paraId="7A825BA8" w14:textId="7AA0F2E7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 xml:space="preserve">The meeting was called to </w:t>
      </w:r>
      <w:proofErr w:type="gramStart"/>
      <w:r>
        <w:rPr>
          <w:rFonts w:ascii="HelveticaNeue" w:hAnsi="HelveticaNeue" w:cs="HelveticaNeue"/>
          <w:color w:val="000000"/>
          <w:sz w:val="20"/>
          <w:szCs w:val="20"/>
        </w:rPr>
        <w:t>order  at</w:t>
      </w:r>
      <w:proofErr w:type="gramEnd"/>
      <w:r>
        <w:rPr>
          <w:rFonts w:ascii="HelveticaNeue" w:hAnsi="HelveticaNeue" w:cs="HelveticaNeue"/>
          <w:color w:val="000000"/>
          <w:sz w:val="20"/>
          <w:szCs w:val="20"/>
        </w:rPr>
        <w:t xml:space="preserve"> 6:08 pm</w:t>
      </w:r>
    </w:p>
    <w:p w14:paraId="643C5B2B" w14:textId="77777777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14:paraId="4D362FEC" w14:textId="1F6AEE15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 w:rsidRPr="00BD5C6C">
        <w:rPr>
          <w:rFonts w:ascii="HelveticaNeue" w:hAnsi="HelveticaNeue" w:cs="HelveticaNeue"/>
          <w:b/>
          <w:color w:val="000000"/>
          <w:sz w:val="20"/>
          <w:szCs w:val="20"/>
        </w:rPr>
        <w:t>General</w:t>
      </w:r>
      <w:r>
        <w:rPr>
          <w:rFonts w:ascii="HelveticaNeue" w:hAnsi="HelveticaNeue" w:cs="HelveticaNeue"/>
          <w:color w:val="000000"/>
          <w:sz w:val="20"/>
          <w:szCs w:val="20"/>
        </w:rPr>
        <w:t>- Katie</w:t>
      </w:r>
    </w:p>
    <w:p w14:paraId="32D95896" w14:textId="25994340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The board went over roles and regulations for board members.</w:t>
      </w:r>
    </w:p>
    <w:p w14:paraId="572842E4" w14:textId="0D953A48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 xml:space="preserve">Katie will update </w:t>
      </w:r>
      <w:proofErr w:type="spellStart"/>
      <w:r>
        <w:rPr>
          <w:rFonts w:ascii="HelveticaNeue" w:hAnsi="HelveticaNeue" w:cs="HelveticaNeue"/>
          <w:color w:val="000000"/>
          <w:sz w:val="20"/>
          <w:szCs w:val="20"/>
        </w:rPr>
        <w:t>dropbox</w:t>
      </w:r>
      <w:proofErr w:type="spellEnd"/>
      <w:r>
        <w:rPr>
          <w:rFonts w:ascii="HelveticaNeue" w:hAnsi="HelveticaNeue" w:cs="HelveticaNeue"/>
          <w:color w:val="000000"/>
          <w:sz w:val="20"/>
          <w:szCs w:val="20"/>
        </w:rPr>
        <w:t xml:space="preserve"> to give new board members access.</w:t>
      </w:r>
    </w:p>
    <w:p w14:paraId="3E9AFAD9" w14:textId="72BDB0F2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 xml:space="preserve">Amanda Hunter will take headshots of all board members for the website. </w:t>
      </w:r>
    </w:p>
    <w:p w14:paraId="3C504745" w14:textId="77777777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14:paraId="5A961E63" w14:textId="723A2953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Speaker ideas:</w:t>
      </w:r>
    </w:p>
    <w:p w14:paraId="4C18A7B6" w14:textId="77777777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 xml:space="preserve">Susan </w:t>
      </w:r>
      <w:proofErr w:type="spellStart"/>
      <w:r>
        <w:rPr>
          <w:rFonts w:ascii="HelveticaNeue" w:hAnsi="HelveticaNeue" w:cs="HelveticaNeue"/>
          <w:color w:val="000000"/>
          <w:sz w:val="20"/>
          <w:szCs w:val="20"/>
        </w:rPr>
        <w:t>Torregrosa</w:t>
      </w:r>
      <w:proofErr w:type="spellEnd"/>
      <w:r>
        <w:rPr>
          <w:rFonts w:ascii="HelveticaNeue" w:hAnsi="HelveticaNeue" w:cs="HelveticaNeue"/>
          <w:color w:val="000000"/>
          <w:sz w:val="20"/>
          <w:szCs w:val="20"/>
        </w:rPr>
        <w:t xml:space="preserve"> - Amanda Clark will reach out.</w:t>
      </w:r>
    </w:p>
    <w:p w14:paraId="68E6D299" w14:textId="54BB9BFC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 xml:space="preserve">Meredith </w:t>
      </w:r>
      <w:proofErr w:type="spellStart"/>
      <w:r>
        <w:rPr>
          <w:rFonts w:ascii="HelveticaNeue" w:hAnsi="HelveticaNeue" w:cs="HelveticaNeue"/>
          <w:color w:val="000000"/>
          <w:sz w:val="20"/>
          <w:szCs w:val="20"/>
        </w:rPr>
        <w:t>Klapp</w:t>
      </w:r>
      <w:proofErr w:type="spellEnd"/>
      <w:r>
        <w:rPr>
          <w:rFonts w:ascii="HelveticaNeue" w:hAnsi="HelveticaNeue" w:cs="HelveticaNeue"/>
          <w:color w:val="000000"/>
          <w:sz w:val="20"/>
          <w:szCs w:val="20"/>
        </w:rPr>
        <w:t>- South Georgia newborns and families- Amanda Hunter will reach out</w:t>
      </w:r>
    </w:p>
    <w:p w14:paraId="7A2A1D7B" w14:textId="7B99D189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Rhea Lewis- Boudoir? -Katie will reach out</w:t>
      </w:r>
    </w:p>
    <w:p w14:paraId="3CB9F916" w14:textId="4376654C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January- Hands on round table board come up with talking points before meeting</w:t>
      </w:r>
    </w:p>
    <w:p w14:paraId="15A1433A" w14:textId="47F37E47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March- Tamara Knight- Sales</w:t>
      </w:r>
    </w:p>
    <w:p w14:paraId="669CD82B" w14:textId="634037CB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 xml:space="preserve">April- </w:t>
      </w:r>
    </w:p>
    <w:p w14:paraId="2A1DCA21" w14:textId="77777777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May - prep</w:t>
      </w:r>
    </w:p>
    <w:p w14:paraId="53E02C07" w14:textId="77777777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June - salon</w:t>
      </w:r>
    </w:p>
    <w:p w14:paraId="45A0E658" w14:textId="77777777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14:paraId="5A05F2CA" w14:textId="31A943F5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Membership:</w:t>
      </w:r>
    </w:p>
    <w:p w14:paraId="03F03BE1" w14:textId="052093AF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 xml:space="preserve">We ended 2017 with 29 members. So </w:t>
      </w:r>
      <w:proofErr w:type="gramStart"/>
      <w:r>
        <w:rPr>
          <w:rFonts w:ascii="HelveticaNeue" w:hAnsi="HelveticaNeue" w:cs="HelveticaNeue"/>
          <w:color w:val="000000"/>
          <w:sz w:val="20"/>
          <w:szCs w:val="20"/>
        </w:rPr>
        <w:t>far</w:t>
      </w:r>
      <w:proofErr w:type="gramEnd"/>
      <w:r>
        <w:rPr>
          <w:rFonts w:ascii="HelveticaNeue" w:hAnsi="HelveticaNeue" w:cs="HelveticaNeue"/>
          <w:color w:val="000000"/>
          <w:sz w:val="20"/>
          <w:szCs w:val="20"/>
        </w:rPr>
        <w:t xml:space="preserve"> we have 15 for 2018. </w:t>
      </w:r>
    </w:p>
    <w:p w14:paraId="560FCC84" w14:textId="5B08E360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Amanda Hunter confirmed first 6 months of meeting dates with Backwoods Bistro. Charlotte will reach out to Rising Tide to welcome/invite them to our meetings.</w:t>
      </w:r>
    </w:p>
    <w:p w14:paraId="3BDFC407" w14:textId="77777777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14:paraId="3725BE3E" w14:textId="6F8B173D" w:rsidR="00BD5C6C" w:rsidRPr="00BD5C6C" w:rsidRDefault="00BD5C6C" w:rsidP="00BD5C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 w:rsidRPr="00BD5C6C">
        <w:rPr>
          <w:rFonts w:ascii="HelveticaNeue" w:hAnsi="HelveticaNeue" w:cs="HelveticaNeue"/>
          <w:color w:val="000000"/>
          <w:sz w:val="20"/>
          <w:szCs w:val="20"/>
        </w:rPr>
        <w:t>A motion was made to extend the 10% membership discount until the January meeting</w:t>
      </w:r>
    </w:p>
    <w:p w14:paraId="26B0EB9B" w14:textId="77777777" w:rsidR="00BD5C6C" w:rsidRDefault="00BD5C6C" w:rsidP="00BD5C6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Motion: Amanda Hunter</w:t>
      </w:r>
    </w:p>
    <w:p w14:paraId="6C4B69C7" w14:textId="40671ABE" w:rsidR="00BD5C6C" w:rsidRDefault="00BD5C6C" w:rsidP="00BD5C6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Second: Amanda Wynne</w:t>
      </w:r>
    </w:p>
    <w:p w14:paraId="69C7B423" w14:textId="77777777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14:paraId="600D4F73" w14:textId="77777777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Affiliate News</w:t>
      </w:r>
    </w:p>
    <w:p w14:paraId="1EBEDB7D" w14:textId="1836C11D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 xml:space="preserve">The PPA renewal information has been turned in by the deadline of December 31, 2017 </w:t>
      </w:r>
      <w:proofErr w:type="gramStart"/>
      <w:r>
        <w:rPr>
          <w:rFonts w:ascii="HelveticaNeue" w:hAnsi="HelveticaNeue" w:cs="HelveticaNeue"/>
          <w:color w:val="000000"/>
          <w:sz w:val="20"/>
          <w:szCs w:val="20"/>
        </w:rPr>
        <w:t>in order to</w:t>
      </w:r>
      <w:proofErr w:type="gramEnd"/>
      <w:r>
        <w:rPr>
          <w:rFonts w:ascii="HelveticaNeue" w:hAnsi="HelveticaNeue" w:cs="HelveticaNeue"/>
          <w:color w:val="000000"/>
          <w:sz w:val="20"/>
          <w:szCs w:val="20"/>
        </w:rPr>
        <w:t xml:space="preserve"> not lose affiliation status. TPPG meets the requirements for the number of PPA members as members of the guild.</w:t>
      </w:r>
    </w:p>
    <w:p w14:paraId="7C726120" w14:textId="77777777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14:paraId="1AF71C29" w14:textId="77777777" w:rsidR="00BD5C6C" w:rsidRPr="00BD5C6C" w:rsidRDefault="00BD5C6C" w:rsidP="00BD5C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 w:rsidRPr="00BD5C6C">
        <w:rPr>
          <w:rFonts w:ascii="HelveticaNeue" w:hAnsi="HelveticaNeue" w:cs="HelveticaNeue"/>
          <w:color w:val="000000"/>
          <w:sz w:val="20"/>
          <w:szCs w:val="20"/>
        </w:rPr>
        <w:t>Motion to ratify and sign the PPA Principles Affiliation</w:t>
      </w:r>
    </w:p>
    <w:p w14:paraId="15000AE4" w14:textId="77777777" w:rsidR="00BD5C6C" w:rsidRDefault="00BD5C6C" w:rsidP="00BD5C6C">
      <w:pPr>
        <w:autoSpaceDE w:val="0"/>
        <w:autoSpaceDN w:val="0"/>
        <w:adjustRightInd w:val="0"/>
        <w:spacing w:after="0" w:line="240" w:lineRule="auto"/>
        <w:ind w:firstLine="720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Motion: Katie Bellflower</w:t>
      </w:r>
    </w:p>
    <w:p w14:paraId="3DAE96EF" w14:textId="04B35FE7" w:rsidR="00BD5C6C" w:rsidRDefault="00BD5C6C" w:rsidP="00BD5C6C">
      <w:pPr>
        <w:autoSpaceDE w:val="0"/>
        <w:autoSpaceDN w:val="0"/>
        <w:adjustRightInd w:val="0"/>
        <w:spacing w:after="0" w:line="240" w:lineRule="auto"/>
        <w:ind w:left="720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 xml:space="preserve">Second Steve </w:t>
      </w:r>
      <w:proofErr w:type="spellStart"/>
      <w:r>
        <w:rPr>
          <w:rFonts w:ascii="HelveticaNeue" w:hAnsi="HelveticaNeue" w:cs="HelveticaNeue"/>
          <w:color w:val="000000"/>
          <w:sz w:val="20"/>
          <w:szCs w:val="20"/>
        </w:rPr>
        <w:t>Saccio</w:t>
      </w:r>
      <w:proofErr w:type="spellEnd"/>
    </w:p>
    <w:p w14:paraId="7072C3AF" w14:textId="77777777" w:rsidR="00BD5C6C" w:rsidRDefault="00BD5C6C" w:rsidP="00BD5C6C">
      <w:pPr>
        <w:autoSpaceDE w:val="0"/>
        <w:autoSpaceDN w:val="0"/>
        <w:adjustRightInd w:val="0"/>
        <w:spacing w:after="0" w:line="240" w:lineRule="auto"/>
        <w:ind w:left="720"/>
        <w:rPr>
          <w:rFonts w:ascii="HelveticaNeue" w:hAnsi="HelveticaNeue" w:cs="HelveticaNeue"/>
          <w:color w:val="000000"/>
          <w:sz w:val="20"/>
          <w:szCs w:val="20"/>
        </w:rPr>
      </w:pPr>
    </w:p>
    <w:p w14:paraId="6FD3CB18" w14:textId="2443F63A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 xml:space="preserve">Fun project idea- Amanda Hunter pitched idea- Fun challenge- Amanda, Amanda, Katie, meet to go over details. Will announce 2 weeks before march meeting. </w:t>
      </w:r>
    </w:p>
    <w:p w14:paraId="5E49DBB8" w14:textId="77777777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14:paraId="2B234A70" w14:textId="77777777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2018 Events</w:t>
      </w:r>
    </w:p>
    <w:p w14:paraId="03EB61C4" w14:textId="77777777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lastRenderedPageBreak/>
        <w:t>Creativity retreat in spring Amanda is contacting Leslie - May</w:t>
      </w:r>
    </w:p>
    <w:p w14:paraId="78123CB8" w14:textId="77777777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Going Pro? Still debating if we want to do it.</w:t>
      </w:r>
    </w:p>
    <w:p w14:paraId="7E43EC3A" w14:textId="24816382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3D464D"/>
          <w:sz w:val="20"/>
          <w:szCs w:val="20"/>
        </w:rPr>
      </w:pPr>
      <w:r>
        <w:rPr>
          <w:rFonts w:ascii="HelveticaNeue" w:hAnsi="HelveticaNeue" w:cs="HelveticaNeue"/>
          <w:color w:val="3D464D"/>
          <w:sz w:val="20"/>
          <w:szCs w:val="20"/>
        </w:rPr>
        <w:t xml:space="preserve">Facebook: Going to change the name to TPPG Members and Affiliates.  The </w:t>
      </w:r>
      <w:proofErr w:type="spellStart"/>
      <w:r>
        <w:rPr>
          <w:rFonts w:ascii="HelveticaNeue" w:hAnsi="HelveticaNeue" w:cs="HelveticaNeue"/>
          <w:color w:val="3D464D"/>
          <w:sz w:val="20"/>
          <w:szCs w:val="20"/>
        </w:rPr>
        <w:t>facebook</w:t>
      </w:r>
      <w:proofErr w:type="spellEnd"/>
      <w:r>
        <w:rPr>
          <w:rFonts w:ascii="HelveticaNeue" w:hAnsi="HelveticaNeue" w:cs="HelveticaNeue"/>
          <w:color w:val="3D464D"/>
          <w:sz w:val="20"/>
          <w:szCs w:val="20"/>
        </w:rPr>
        <w:t xml:space="preserve"> group will be a perk of the members of the guild that have been a member in the last 3 years.</w:t>
      </w:r>
    </w:p>
    <w:p w14:paraId="326D22FA" w14:textId="77777777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3D464D"/>
          <w:sz w:val="20"/>
          <w:szCs w:val="20"/>
        </w:rPr>
      </w:pPr>
    </w:p>
    <w:p w14:paraId="0ECA56A6" w14:textId="77777777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Finances:</w:t>
      </w:r>
    </w:p>
    <w:p w14:paraId="036ACF3D" w14:textId="4E5682A4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 xml:space="preserve">Robert Hunter went over financials with the group. </w:t>
      </w:r>
    </w:p>
    <w:p w14:paraId="1B59CCC2" w14:textId="77777777" w:rsidR="00BD5C6C" w:rsidRDefault="00BD5C6C" w:rsidP="00BD5C6C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35"/>
        <w:gridCol w:w="3435"/>
      </w:tblGrid>
      <w:tr w:rsidR="00BD5C6C" w14:paraId="2A004E0A" w14:textId="77777777">
        <w:trPr>
          <w:trHeight w:val="131"/>
        </w:trPr>
        <w:tc>
          <w:tcPr>
            <w:tcW w:w="6870" w:type="dxa"/>
            <w:gridSpan w:val="2"/>
          </w:tcPr>
          <w:p w14:paraId="5F10FE80" w14:textId="77777777" w:rsidR="00BD5C6C" w:rsidRDefault="00BD5C6C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>TPPG</w:t>
            </w:r>
          </w:p>
        </w:tc>
      </w:tr>
      <w:tr w:rsidR="00BD5C6C" w14:paraId="76B7A29E" w14:textId="77777777">
        <w:trPr>
          <w:trHeight w:val="74"/>
        </w:trPr>
        <w:tc>
          <w:tcPr>
            <w:tcW w:w="6870" w:type="dxa"/>
            <w:gridSpan w:val="2"/>
          </w:tcPr>
          <w:p w14:paraId="68BEB1CB" w14:textId="77777777" w:rsidR="00BD5C6C" w:rsidRDefault="00BD5C6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Statement of Financial Position</w:t>
            </w:r>
          </w:p>
        </w:tc>
      </w:tr>
      <w:tr w:rsidR="00BD5C6C" w14:paraId="0DF5E741" w14:textId="77777777">
        <w:trPr>
          <w:trHeight w:val="74"/>
        </w:trPr>
        <w:tc>
          <w:tcPr>
            <w:tcW w:w="6870" w:type="dxa"/>
            <w:gridSpan w:val="2"/>
          </w:tcPr>
          <w:p w14:paraId="7DE67A7C" w14:textId="77777777" w:rsidR="00BD5C6C" w:rsidRDefault="00BD5C6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as of January 31, 2018</w:t>
            </w:r>
          </w:p>
        </w:tc>
      </w:tr>
      <w:tr w:rsidR="00BD5C6C" w14:paraId="20643DFF" w14:textId="77777777">
        <w:trPr>
          <w:trHeight w:val="93"/>
        </w:trPr>
        <w:tc>
          <w:tcPr>
            <w:tcW w:w="6870" w:type="dxa"/>
            <w:gridSpan w:val="2"/>
          </w:tcPr>
          <w:p w14:paraId="2DB55400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ASSETS</w:t>
            </w:r>
          </w:p>
        </w:tc>
      </w:tr>
      <w:tr w:rsidR="00BD5C6C" w14:paraId="53F6E29F" w14:textId="77777777">
        <w:trPr>
          <w:trHeight w:val="93"/>
        </w:trPr>
        <w:tc>
          <w:tcPr>
            <w:tcW w:w="3435" w:type="dxa"/>
          </w:tcPr>
          <w:p w14:paraId="40AB29BE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Wells Fargo </w:t>
            </w:r>
          </w:p>
        </w:tc>
        <w:tc>
          <w:tcPr>
            <w:tcW w:w="3435" w:type="dxa"/>
          </w:tcPr>
          <w:p w14:paraId="016D2A28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9,835.36$ </w:t>
            </w:r>
          </w:p>
        </w:tc>
      </w:tr>
      <w:tr w:rsidR="00BD5C6C" w14:paraId="22D6ACD0" w14:textId="77777777">
        <w:trPr>
          <w:trHeight w:val="93"/>
        </w:trPr>
        <w:tc>
          <w:tcPr>
            <w:tcW w:w="3435" w:type="dxa"/>
          </w:tcPr>
          <w:p w14:paraId="4160E067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PayPal</w:t>
            </w:r>
          </w:p>
        </w:tc>
        <w:tc>
          <w:tcPr>
            <w:tcW w:w="3435" w:type="dxa"/>
          </w:tcPr>
          <w:p w14:paraId="3C8DB146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389.73$ </w:t>
            </w:r>
          </w:p>
        </w:tc>
      </w:tr>
      <w:tr w:rsidR="00BD5C6C" w14:paraId="4D8F1010" w14:textId="77777777">
        <w:trPr>
          <w:trHeight w:val="93"/>
        </w:trPr>
        <w:tc>
          <w:tcPr>
            <w:tcW w:w="3435" w:type="dxa"/>
          </w:tcPr>
          <w:p w14:paraId="20B06DFF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Assets</w:t>
            </w:r>
          </w:p>
        </w:tc>
        <w:tc>
          <w:tcPr>
            <w:tcW w:w="3435" w:type="dxa"/>
          </w:tcPr>
          <w:p w14:paraId="2B789F96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10,225.09$ </w:t>
            </w:r>
          </w:p>
        </w:tc>
      </w:tr>
      <w:tr w:rsidR="00BD5C6C" w14:paraId="28248038" w14:textId="77777777">
        <w:trPr>
          <w:trHeight w:val="93"/>
        </w:trPr>
        <w:tc>
          <w:tcPr>
            <w:tcW w:w="6870" w:type="dxa"/>
            <w:gridSpan w:val="2"/>
          </w:tcPr>
          <w:p w14:paraId="04681619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LIABILITIES</w:t>
            </w:r>
          </w:p>
        </w:tc>
      </w:tr>
      <w:tr w:rsidR="00BD5C6C" w14:paraId="41FDA0C6" w14:textId="77777777">
        <w:trPr>
          <w:trHeight w:val="93"/>
        </w:trPr>
        <w:tc>
          <w:tcPr>
            <w:tcW w:w="3435" w:type="dxa"/>
          </w:tcPr>
          <w:p w14:paraId="1B57B498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3435" w:type="dxa"/>
          </w:tcPr>
          <w:p w14:paraId="0EB7F34E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-$ </w:t>
            </w:r>
          </w:p>
        </w:tc>
      </w:tr>
      <w:tr w:rsidR="00BD5C6C" w14:paraId="1D12167F" w14:textId="77777777">
        <w:trPr>
          <w:trHeight w:val="93"/>
        </w:trPr>
        <w:tc>
          <w:tcPr>
            <w:tcW w:w="3435" w:type="dxa"/>
          </w:tcPr>
          <w:p w14:paraId="3A0D9091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3435" w:type="dxa"/>
          </w:tcPr>
          <w:p w14:paraId="356FCCD7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-$ </w:t>
            </w:r>
          </w:p>
        </w:tc>
      </w:tr>
      <w:tr w:rsidR="00BD5C6C" w14:paraId="499521DC" w14:textId="77777777">
        <w:trPr>
          <w:trHeight w:val="93"/>
        </w:trPr>
        <w:tc>
          <w:tcPr>
            <w:tcW w:w="3435" w:type="dxa"/>
          </w:tcPr>
          <w:p w14:paraId="59F5B710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Liabilities</w:t>
            </w:r>
          </w:p>
        </w:tc>
        <w:tc>
          <w:tcPr>
            <w:tcW w:w="3435" w:type="dxa"/>
          </w:tcPr>
          <w:p w14:paraId="427CD21B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-$ </w:t>
            </w:r>
          </w:p>
        </w:tc>
      </w:tr>
      <w:tr w:rsidR="00BD5C6C" w14:paraId="0249349D" w14:textId="77777777">
        <w:trPr>
          <w:trHeight w:val="93"/>
        </w:trPr>
        <w:tc>
          <w:tcPr>
            <w:tcW w:w="3435" w:type="dxa"/>
          </w:tcPr>
          <w:p w14:paraId="7940DCC5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 Assets</w:t>
            </w:r>
          </w:p>
        </w:tc>
        <w:tc>
          <w:tcPr>
            <w:tcW w:w="3435" w:type="dxa"/>
          </w:tcPr>
          <w:p w14:paraId="48626854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10,225.09$ </w:t>
            </w:r>
          </w:p>
        </w:tc>
      </w:tr>
      <w:tr w:rsidR="00BD5C6C" w14:paraId="79114CCA" w14:textId="77777777">
        <w:trPr>
          <w:trHeight w:val="74"/>
        </w:trPr>
        <w:tc>
          <w:tcPr>
            <w:tcW w:w="6870" w:type="dxa"/>
            <w:gridSpan w:val="2"/>
          </w:tcPr>
          <w:p w14:paraId="4D741332" w14:textId="77777777" w:rsidR="00BD5C6C" w:rsidRDefault="00BD5C6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Statement of Financial Activity</w:t>
            </w:r>
          </w:p>
        </w:tc>
      </w:tr>
      <w:tr w:rsidR="00BD5C6C" w14:paraId="6CB055E9" w14:textId="77777777">
        <w:trPr>
          <w:trHeight w:val="74"/>
        </w:trPr>
        <w:tc>
          <w:tcPr>
            <w:tcW w:w="6870" w:type="dxa"/>
            <w:gridSpan w:val="2"/>
          </w:tcPr>
          <w:p w14:paraId="27BBDA3E" w14:textId="77777777" w:rsidR="00BD5C6C" w:rsidRDefault="00BD5C6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Month of January 2018</w:t>
            </w:r>
          </w:p>
        </w:tc>
      </w:tr>
      <w:tr w:rsidR="00BD5C6C" w14:paraId="06C7898E" w14:textId="77777777">
        <w:trPr>
          <w:trHeight w:val="93"/>
        </w:trPr>
        <w:tc>
          <w:tcPr>
            <w:tcW w:w="6870" w:type="dxa"/>
            <w:gridSpan w:val="2"/>
          </w:tcPr>
          <w:p w14:paraId="43DCC03C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INCOME</w:t>
            </w:r>
          </w:p>
        </w:tc>
      </w:tr>
      <w:tr w:rsidR="00BD5C6C" w14:paraId="19D8A3AB" w14:textId="77777777">
        <w:trPr>
          <w:trHeight w:val="93"/>
        </w:trPr>
        <w:tc>
          <w:tcPr>
            <w:tcW w:w="3435" w:type="dxa"/>
          </w:tcPr>
          <w:p w14:paraId="2FF4B234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Membership Dues</w:t>
            </w:r>
          </w:p>
        </w:tc>
        <w:tc>
          <w:tcPr>
            <w:tcW w:w="3435" w:type="dxa"/>
          </w:tcPr>
          <w:p w14:paraId="59652F69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1,725.20$ </w:t>
            </w:r>
          </w:p>
        </w:tc>
      </w:tr>
      <w:tr w:rsidR="00BD5C6C" w14:paraId="48F72A20" w14:textId="77777777">
        <w:trPr>
          <w:trHeight w:val="93"/>
        </w:trPr>
        <w:tc>
          <w:tcPr>
            <w:tcW w:w="3435" w:type="dxa"/>
          </w:tcPr>
          <w:p w14:paraId="270B8667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Visitor Fees - November Meeting</w:t>
            </w:r>
          </w:p>
        </w:tc>
        <w:tc>
          <w:tcPr>
            <w:tcW w:w="3435" w:type="dxa"/>
          </w:tcPr>
          <w:p w14:paraId="002FE880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30.00$ </w:t>
            </w:r>
          </w:p>
        </w:tc>
      </w:tr>
      <w:tr w:rsidR="00BD5C6C" w14:paraId="359AE50F" w14:textId="77777777">
        <w:trPr>
          <w:trHeight w:val="93"/>
        </w:trPr>
        <w:tc>
          <w:tcPr>
            <w:tcW w:w="3435" w:type="dxa"/>
          </w:tcPr>
          <w:p w14:paraId="4D17ED3C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435" w:type="dxa"/>
          </w:tcPr>
          <w:p w14:paraId="29F4F655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-$ </w:t>
            </w:r>
          </w:p>
        </w:tc>
      </w:tr>
      <w:tr w:rsidR="00BD5C6C" w14:paraId="13BE48D2" w14:textId="77777777">
        <w:trPr>
          <w:trHeight w:val="93"/>
        </w:trPr>
        <w:tc>
          <w:tcPr>
            <w:tcW w:w="3435" w:type="dxa"/>
          </w:tcPr>
          <w:p w14:paraId="1252438C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Income</w:t>
            </w:r>
          </w:p>
        </w:tc>
        <w:tc>
          <w:tcPr>
            <w:tcW w:w="3435" w:type="dxa"/>
          </w:tcPr>
          <w:p w14:paraId="78F61631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1,755.20$ </w:t>
            </w:r>
          </w:p>
        </w:tc>
      </w:tr>
      <w:tr w:rsidR="00BD5C6C" w14:paraId="3B1DE3C6" w14:textId="77777777">
        <w:trPr>
          <w:trHeight w:val="93"/>
        </w:trPr>
        <w:tc>
          <w:tcPr>
            <w:tcW w:w="6870" w:type="dxa"/>
            <w:gridSpan w:val="2"/>
          </w:tcPr>
          <w:p w14:paraId="05FC4CE0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EXPENSES </w:t>
            </w:r>
          </w:p>
        </w:tc>
      </w:tr>
      <w:tr w:rsidR="00BD5C6C" w14:paraId="61BB27C4" w14:textId="77777777">
        <w:trPr>
          <w:trHeight w:val="93"/>
        </w:trPr>
        <w:tc>
          <w:tcPr>
            <w:tcW w:w="3435" w:type="dxa"/>
          </w:tcPr>
          <w:p w14:paraId="04B7F7D4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PPA Dues </w:t>
            </w:r>
          </w:p>
        </w:tc>
        <w:tc>
          <w:tcPr>
            <w:tcW w:w="3435" w:type="dxa"/>
          </w:tcPr>
          <w:p w14:paraId="20AB2BC7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300.00$ </w:t>
            </w:r>
          </w:p>
        </w:tc>
      </w:tr>
      <w:tr w:rsidR="00BD5C6C" w14:paraId="01DA6390" w14:textId="77777777">
        <w:trPr>
          <w:trHeight w:val="93"/>
        </w:trPr>
        <w:tc>
          <w:tcPr>
            <w:tcW w:w="3435" w:type="dxa"/>
          </w:tcPr>
          <w:p w14:paraId="63F16610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Misc</w:t>
            </w:r>
            <w:proofErr w:type="spellEnd"/>
            <w:r>
              <w:rPr>
                <w:sz w:val="20"/>
                <w:szCs w:val="20"/>
              </w:rPr>
              <w:t xml:space="preserve"> Supplies </w:t>
            </w:r>
          </w:p>
        </w:tc>
        <w:tc>
          <w:tcPr>
            <w:tcW w:w="3435" w:type="dxa"/>
          </w:tcPr>
          <w:p w14:paraId="3EE5682D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15.04$ </w:t>
            </w:r>
          </w:p>
        </w:tc>
      </w:tr>
      <w:tr w:rsidR="00BD5C6C" w14:paraId="1690CCAB" w14:textId="77777777">
        <w:trPr>
          <w:trHeight w:val="93"/>
        </w:trPr>
        <w:tc>
          <w:tcPr>
            <w:tcW w:w="3435" w:type="dxa"/>
          </w:tcPr>
          <w:p w14:paraId="322A3D4A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TPPG Board Meal </w:t>
            </w:r>
          </w:p>
        </w:tc>
        <w:tc>
          <w:tcPr>
            <w:tcW w:w="3435" w:type="dxa"/>
          </w:tcPr>
          <w:p w14:paraId="197E1FA5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78.40$ </w:t>
            </w:r>
          </w:p>
        </w:tc>
      </w:tr>
      <w:tr w:rsidR="00BD5C6C" w14:paraId="18676223" w14:textId="77777777">
        <w:trPr>
          <w:trHeight w:val="93"/>
        </w:trPr>
        <w:tc>
          <w:tcPr>
            <w:tcW w:w="3435" w:type="dxa"/>
          </w:tcPr>
          <w:p w14:paraId="4C0879C9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Banking Fees </w:t>
            </w:r>
          </w:p>
        </w:tc>
        <w:tc>
          <w:tcPr>
            <w:tcW w:w="3435" w:type="dxa"/>
          </w:tcPr>
          <w:p w14:paraId="7C3500AA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18.12$ </w:t>
            </w:r>
          </w:p>
        </w:tc>
      </w:tr>
      <w:tr w:rsidR="00BD5C6C" w14:paraId="0AB796D2" w14:textId="77777777">
        <w:trPr>
          <w:trHeight w:val="93"/>
        </w:trPr>
        <w:tc>
          <w:tcPr>
            <w:tcW w:w="3435" w:type="dxa"/>
          </w:tcPr>
          <w:p w14:paraId="512C8D3D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435" w:type="dxa"/>
          </w:tcPr>
          <w:p w14:paraId="353343AA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-$ </w:t>
            </w:r>
          </w:p>
        </w:tc>
      </w:tr>
      <w:tr w:rsidR="00BD5C6C" w14:paraId="6A73630E" w14:textId="77777777">
        <w:trPr>
          <w:trHeight w:val="93"/>
        </w:trPr>
        <w:tc>
          <w:tcPr>
            <w:tcW w:w="3435" w:type="dxa"/>
          </w:tcPr>
          <w:p w14:paraId="4021A365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Expenses</w:t>
            </w:r>
          </w:p>
        </w:tc>
        <w:tc>
          <w:tcPr>
            <w:tcW w:w="3435" w:type="dxa"/>
          </w:tcPr>
          <w:p w14:paraId="658640DE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411.56$ </w:t>
            </w:r>
          </w:p>
        </w:tc>
      </w:tr>
      <w:tr w:rsidR="00BD5C6C" w14:paraId="1275D86A" w14:textId="77777777">
        <w:trPr>
          <w:trHeight w:val="93"/>
        </w:trPr>
        <w:tc>
          <w:tcPr>
            <w:tcW w:w="3435" w:type="dxa"/>
          </w:tcPr>
          <w:p w14:paraId="67AC0B31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 Assets Beginning of Period</w:t>
            </w:r>
          </w:p>
        </w:tc>
        <w:tc>
          <w:tcPr>
            <w:tcW w:w="3435" w:type="dxa"/>
          </w:tcPr>
          <w:p w14:paraId="4E364159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8,881.45$ </w:t>
            </w:r>
          </w:p>
        </w:tc>
      </w:tr>
      <w:tr w:rsidR="00BD5C6C" w14:paraId="54BF9BE0" w14:textId="77777777">
        <w:trPr>
          <w:trHeight w:val="93"/>
        </w:trPr>
        <w:tc>
          <w:tcPr>
            <w:tcW w:w="3435" w:type="dxa"/>
          </w:tcPr>
          <w:p w14:paraId="4DFC0F42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 Income</w:t>
            </w:r>
          </w:p>
        </w:tc>
        <w:tc>
          <w:tcPr>
            <w:tcW w:w="3435" w:type="dxa"/>
          </w:tcPr>
          <w:p w14:paraId="59E22C05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1,755.20$ </w:t>
            </w:r>
          </w:p>
        </w:tc>
      </w:tr>
      <w:tr w:rsidR="00BD5C6C" w14:paraId="760C68B5" w14:textId="77777777">
        <w:trPr>
          <w:trHeight w:val="93"/>
        </w:trPr>
        <w:tc>
          <w:tcPr>
            <w:tcW w:w="3435" w:type="dxa"/>
          </w:tcPr>
          <w:p w14:paraId="55CBB4F8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 Expenses</w:t>
            </w:r>
          </w:p>
        </w:tc>
        <w:tc>
          <w:tcPr>
            <w:tcW w:w="3435" w:type="dxa"/>
          </w:tcPr>
          <w:p w14:paraId="02EA6AB6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411.56$ </w:t>
            </w:r>
          </w:p>
        </w:tc>
      </w:tr>
      <w:tr w:rsidR="00BD5C6C" w14:paraId="2798CAA4" w14:textId="77777777">
        <w:trPr>
          <w:trHeight w:val="93"/>
        </w:trPr>
        <w:tc>
          <w:tcPr>
            <w:tcW w:w="3435" w:type="dxa"/>
          </w:tcPr>
          <w:p w14:paraId="5519E87B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Net Assets end of Period</w:t>
            </w:r>
          </w:p>
        </w:tc>
        <w:tc>
          <w:tcPr>
            <w:tcW w:w="3435" w:type="dxa"/>
          </w:tcPr>
          <w:p w14:paraId="5DF8A9D9" w14:textId="77777777" w:rsidR="00BD5C6C" w:rsidRDefault="00BD5C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10,225.09$ </w:t>
            </w:r>
          </w:p>
        </w:tc>
      </w:tr>
    </w:tbl>
    <w:p w14:paraId="67DEB2A7" w14:textId="6578B224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14:paraId="62570A7C" w14:textId="77777777" w:rsidR="00BD5C6C" w:rsidRDefault="00BD5C6C" w:rsidP="00BD5C6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14:paraId="754A0931" w14:textId="6B14BB07" w:rsidR="00BD5C6C" w:rsidRDefault="00BD5C6C" w:rsidP="00BD5C6C">
      <w:r>
        <w:rPr>
          <w:rFonts w:ascii="HelveticaNeue" w:hAnsi="HelveticaNeue" w:cs="HelveticaNeue"/>
          <w:color w:val="3D464D"/>
          <w:sz w:val="20"/>
          <w:szCs w:val="20"/>
        </w:rPr>
        <w:t>Meeting adjourned at 7:44</w:t>
      </w:r>
    </w:p>
    <w:sectPr w:rsidR="00BD5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62768"/>
    <w:multiLevelType w:val="hybridMultilevel"/>
    <w:tmpl w:val="0F36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6C"/>
    <w:rsid w:val="008338E9"/>
    <w:rsid w:val="00BD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BC817"/>
  <w15:chartTrackingRefBased/>
  <w15:docId w15:val="{CFE4E746-0406-4276-B8A0-CE10F0A3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C6C"/>
    <w:pPr>
      <w:ind w:left="720"/>
      <w:contextualSpacing/>
    </w:pPr>
  </w:style>
  <w:style w:type="paragraph" w:customStyle="1" w:styleId="Default">
    <w:name w:val="Default"/>
    <w:rsid w:val="00BD5C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Bellflower</dc:creator>
  <cp:keywords/>
  <dc:description/>
  <cp:lastModifiedBy>Kate Bellflower</cp:lastModifiedBy>
  <cp:revision>2</cp:revision>
  <dcterms:created xsi:type="dcterms:W3CDTF">2018-07-02T19:04:00Z</dcterms:created>
  <dcterms:modified xsi:type="dcterms:W3CDTF">2018-07-02T19:35:00Z</dcterms:modified>
</cp:coreProperties>
</file>